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1C4" w:rsidRPr="006E01E5" w:rsidRDefault="006E01E5" w:rsidP="006E01E5">
      <w:pPr>
        <w:jc w:val="both"/>
        <w:rPr>
          <w:rFonts w:ascii="Tahoma" w:hAnsi="Tahoma" w:cs="Tahoma"/>
          <w:b/>
          <w:sz w:val="28"/>
          <w:szCs w:val="32"/>
        </w:rPr>
      </w:pPr>
      <w:bookmarkStart w:id="0" w:name="_GoBack"/>
      <w:r w:rsidRPr="006E01E5">
        <w:rPr>
          <w:rFonts w:ascii="Tahoma" w:hAnsi="Tahoma" w:cs="Tahoma"/>
          <w:b/>
          <w:sz w:val="28"/>
          <w:szCs w:val="32"/>
        </w:rPr>
        <w:t xml:space="preserve">Bonfiglioli lancia </w:t>
      </w:r>
      <w:proofErr w:type="spellStart"/>
      <w:r w:rsidRPr="006E01E5">
        <w:rPr>
          <w:rFonts w:ascii="Tahoma" w:hAnsi="Tahoma" w:cs="Tahoma"/>
          <w:b/>
          <w:sz w:val="28"/>
          <w:szCs w:val="32"/>
        </w:rPr>
        <w:t>ECGenius</w:t>
      </w:r>
      <w:proofErr w:type="spellEnd"/>
      <w:r w:rsidRPr="006E01E5">
        <w:rPr>
          <w:rFonts w:ascii="Tahoma" w:hAnsi="Tahoma" w:cs="Tahoma"/>
          <w:b/>
          <w:sz w:val="28"/>
          <w:szCs w:val="32"/>
        </w:rPr>
        <w:t>, la sua trasmissione meccanica con varia</w:t>
      </w:r>
      <w:r>
        <w:rPr>
          <w:rFonts w:ascii="Tahoma" w:hAnsi="Tahoma" w:cs="Tahoma"/>
          <w:b/>
          <w:sz w:val="28"/>
          <w:szCs w:val="32"/>
        </w:rPr>
        <w:t xml:space="preserve">zione continua, in occasione del </w:t>
      </w:r>
      <w:proofErr w:type="spellStart"/>
      <w:r w:rsidRPr="006E01E5">
        <w:rPr>
          <w:rFonts w:ascii="Tahoma" w:hAnsi="Tahoma" w:cs="Tahoma"/>
          <w:b/>
          <w:sz w:val="28"/>
          <w:szCs w:val="32"/>
        </w:rPr>
        <w:t>Bauma</w:t>
      </w:r>
      <w:proofErr w:type="spellEnd"/>
      <w:r w:rsidRPr="006E01E5">
        <w:rPr>
          <w:rFonts w:ascii="Tahoma" w:hAnsi="Tahoma" w:cs="Tahoma"/>
          <w:b/>
          <w:sz w:val="28"/>
          <w:szCs w:val="32"/>
        </w:rPr>
        <w:t xml:space="preserve"> 2019</w:t>
      </w:r>
    </w:p>
    <w:bookmarkEnd w:id="0"/>
    <w:p w:rsidR="006E01E5" w:rsidRDefault="006E01E5" w:rsidP="006E01E5">
      <w:pPr>
        <w:jc w:val="both"/>
        <w:rPr>
          <w:rFonts w:ascii="Tahoma" w:hAnsi="Tahoma" w:cs="Tahoma"/>
          <w:sz w:val="22"/>
        </w:rPr>
      </w:pPr>
    </w:p>
    <w:p w:rsidR="006E01E5" w:rsidRPr="006E01E5" w:rsidRDefault="006E01E5" w:rsidP="006E01E5">
      <w:pPr>
        <w:tabs>
          <w:tab w:val="left" w:pos="2544"/>
        </w:tabs>
        <w:jc w:val="both"/>
        <w:rPr>
          <w:rFonts w:ascii="Tahoma" w:hAnsi="Tahoma" w:cs="Tahoma"/>
          <w:sz w:val="22"/>
        </w:rPr>
      </w:pPr>
      <w:r w:rsidRPr="006E01E5">
        <w:rPr>
          <w:rFonts w:ascii="Tahoma" w:hAnsi="Tahoma" w:cs="Tahoma"/>
          <w:sz w:val="22"/>
        </w:rPr>
        <w:t xml:space="preserve">Ad alta potenza, efficiente ed economicamente vantaggioso, </w:t>
      </w:r>
      <w:proofErr w:type="spellStart"/>
      <w:r w:rsidRPr="006E01E5">
        <w:rPr>
          <w:rFonts w:ascii="Tahoma" w:hAnsi="Tahoma" w:cs="Tahoma"/>
          <w:sz w:val="22"/>
        </w:rPr>
        <w:t>ECGenius</w:t>
      </w:r>
      <w:proofErr w:type="spellEnd"/>
      <w:r w:rsidRPr="006E01E5">
        <w:rPr>
          <w:rFonts w:ascii="Tahoma" w:hAnsi="Tahoma" w:cs="Tahoma"/>
          <w:sz w:val="22"/>
        </w:rPr>
        <w:t xml:space="preserve"> è dedicato alle applicazioni dei sollevatori telescopici</w:t>
      </w:r>
    </w:p>
    <w:p w:rsidR="006E01E5" w:rsidRPr="006E01E5" w:rsidRDefault="006E01E5" w:rsidP="006E01E5">
      <w:pPr>
        <w:tabs>
          <w:tab w:val="left" w:pos="2544"/>
        </w:tabs>
        <w:jc w:val="both"/>
        <w:rPr>
          <w:rFonts w:ascii="Tahoma" w:hAnsi="Tahoma" w:cs="Tahoma"/>
          <w:sz w:val="22"/>
        </w:rPr>
      </w:pPr>
    </w:p>
    <w:p w:rsidR="006E01E5" w:rsidRPr="006E01E5" w:rsidRDefault="006E01E5" w:rsidP="006E01E5">
      <w:pPr>
        <w:tabs>
          <w:tab w:val="left" w:pos="2544"/>
        </w:tabs>
        <w:jc w:val="both"/>
        <w:rPr>
          <w:rFonts w:ascii="Tahoma" w:hAnsi="Tahoma" w:cs="Tahoma"/>
          <w:sz w:val="22"/>
        </w:rPr>
      </w:pPr>
      <w:proofErr w:type="spellStart"/>
      <w:r w:rsidRPr="006E01E5">
        <w:rPr>
          <w:rFonts w:ascii="Tahoma" w:hAnsi="Tahoma" w:cs="Tahoma"/>
          <w:sz w:val="22"/>
        </w:rPr>
        <w:t>ECGenius</w:t>
      </w:r>
      <w:proofErr w:type="spellEnd"/>
      <w:r w:rsidRPr="006E01E5">
        <w:rPr>
          <w:rFonts w:ascii="Tahoma" w:hAnsi="Tahoma" w:cs="Tahoma"/>
          <w:sz w:val="22"/>
        </w:rPr>
        <w:t xml:space="preserve"> è una trasmissione meccanica con variazione continua ad alta potenza, efficiente ed economicamente vantaggiosa dedicata ai veicoli sollevatori telescopici</w:t>
      </w:r>
      <w:r w:rsidR="002E3749">
        <w:rPr>
          <w:rFonts w:ascii="Tahoma" w:hAnsi="Tahoma" w:cs="Tahoma"/>
          <w:sz w:val="22"/>
        </w:rPr>
        <w:t>,</w:t>
      </w:r>
      <w:r w:rsidR="00283210">
        <w:rPr>
          <w:rFonts w:ascii="Tahoma" w:hAnsi="Tahoma" w:cs="Tahoma"/>
          <w:sz w:val="22"/>
        </w:rPr>
        <w:t xml:space="preserve"> </w:t>
      </w:r>
      <w:r w:rsidR="002D6628">
        <w:rPr>
          <w:rFonts w:ascii="Tahoma" w:hAnsi="Tahoma" w:cs="Tahoma"/>
          <w:sz w:val="22"/>
        </w:rPr>
        <w:t>ma anche utilizzabile su altri</w:t>
      </w:r>
      <w:r w:rsidR="007F2357">
        <w:rPr>
          <w:rFonts w:ascii="Tahoma" w:hAnsi="Tahoma" w:cs="Tahoma"/>
          <w:sz w:val="22"/>
        </w:rPr>
        <w:t xml:space="preserve"> </w:t>
      </w:r>
      <w:r w:rsidR="004F3C3D">
        <w:rPr>
          <w:rFonts w:ascii="Tahoma" w:hAnsi="Tahoma" w:cs="Tahoma"/>
          <w:sz w:val="22"/>
        </w:rPr>
        <w:t>applicazioni.</w:t>
      </w:r>
      <w:r w:rsidRPr="006E01E5">
        <w:rPr>
          <w:rFonts w:ascii="Tahoma" w:hAnsi="Tahoma" w:cs="Tahoma"/>
          <w:sz w:val="22"/>
        </w:rPr>
        <w:t xml:space="preserve"> Il </w:t>
      </w:r>
      <w:r w:rsidR="002E3749">
        <w:rPr>
          <w:rFonts w:ascii="Tahoma" w:hAnsi="Tahoma" w:cs="Tahoma"/>
          <w:sz w:val="22"/>
        </w:rPr>
        <w:t xml:space="preserve">cuore di questo prodotto è il </w:t>
      </w:r>
      <w:r w:rsidRPr="006E01E5">
        <w:rPr>
          <w:rFonts w:ascii="Tahoma" w:hAnsi="Tahoma" w:cs="Tahoma"/>
          <w:sz w:val="22"/>
        </w:rPr>
        <w:t xml:space="preserve">variatore meccanico brevettato (Europa, Stati Uniti e Asia) </w:t>
      </w:r>
      <w:r w:rsidR="002E3749">
        <w:rPr>
          <w:rFonts w:ascii="Tahoma" w:hAnsi="Tahoma" w:cs="Tahoma"/>
          <w:sz w:val="22"/>
        </w:rPr>
        <w:t xml:space="preserve">che </w:t>
      </w:r>
      <w:r w:rsidRPr="006E01E5">
        <w:rPr>
          <w:rFonts w:ascii="Tahoma" w:hAnsi="Tahoma" w:cs="Tahoma"/>
          <w:sz w:val="22"/>
        </w:rPr>
        <w:t xml:space="preserve">è il risultato di oltre 15 anni di sviluppo presso CVTCORP, il partner canadese di Bonfiglioli. </w:t>
      </w:r>
      <w:r w:rsidR="002D6628">
        <w:rPr>
          <w:rFonts w:ascii="Tahoma" w:hAnsi="Tahoma" w:cs="Tahoma"/>
          <w:sz w:val="22"/>
        </w:rPr>
        <w:t xml:space="preserve">Grazie alla sua elevata efficienza, </w:t>
      </w:r>
      <w:proofErr w:type="spellStart"/>
      <w:r w:rsidR="002D6628">
        <w:rPr>
          <w:rFonts w:ascii="Tahoma" w:hAnsi="Tahoma" w:cs="Tahoma"/>
          <w:sz w:val="22"/>
        </w:rPr>
        <w:t>EGGenius</w:t>
      </w:r>
      <w:proofErr w:type="spellEnd"/>
      <w:r w:rsidR="002D6628">
        <w:rPr>
          <w:rFonts w:ascii="Tahoma" w:hAnsi="Tahoma" w:cs="Tahoma"/>
          <w:sz w:val="22"/>
        </w:rPr>
        <w:t xml:space="preserve"> può c</w:t>
      </w:r>
      <w:r w:rsidRPr="006E01E5">
        <w:rPr>
          <w:rFonts w:ascii="Tahoma" w:hAnsi="Tahoma" w:cs="Tahoma"/>
          <w:sz w:val="22"/>
        </w:rPr>
        <w:t>onsent</w:t>
      </w:r>
      <w:r w:rsidR="002D6628">
        <w:rPr>
          <w:rFonts w:ascii="Tahoma" w:hAnsi="Tahoma" w:cs="Tahoma"/>
          <w:sz w:val="22"/>
        </w:rPr>
        <w:t>ire</w:t>
      </w:r>
      <w:r w:rsidRPr="006E01E5">
        <w:rPr>
          <w:rFonts w:ascii="Tahoma" w:hAnsi="Tahoma" w:cs="Tahoma"/>
          <w:sz w:val="22"/>
        </w:rPr>
        <w:t xml:space="preserve"> agli OEM </w:t>
      </w:r>
      <w:r w:rsidR="002D6628">
        <w:rPr>
          <w:rFonts w:ascii="Tahoma" w:hAnsi="Tahoma" w:cs="Tahoma"/>
          <w:sz w:val="22"/>
        </w:rPr>
        <w:t xml:space="preserve">il </w:t>
      </w:r>
      <w:proofErr w:type="spellStart"/>
      <w:r w:rsidR="002D6628">
        <w:rPr>
          <w:rFonts w:ascii="Tahoma" w:hAnsi="Tahoma" w:cs="Tahoma"/>
          <w:sz w:val="22"/>
        </w:rPr>
        <w:t>downsizing</w:t>
      </w:r>
      <w:proofErr w:type="spellEnd"/>
      <w:r w:rsidR="002D6628">
        <w:rPr>
          <w:rFonts w:ascii="Tahoma" w:hAnsi="Tahoma" w:cs="Tahoma"/>
          <w:sz w:val="22"/>
        </w:rPr>
        <w:t xml:space="preserve"> del </w:t>
      </w:r>
      <w:r w:rsidRPr="006E01E5">
        <w:rPr>
          <w:rFonts w:ascii="Tahoma" w:hAnsi="Tahoma" w:cs="Tahoma"/>
          <w:sz w:val="22"/>
        </w:rPr>
        <w:t xml:space="preserve">motore </w:t>
      </w:r>
      <w:r w:rsidR="002D6628">
        <w:rPr>
          <w:rFonts w:ascii="Tahoma" w:hAnsi="Tahoma" w:cs="Tahoma"/>
          <w:sz w:val="22"/>
        </w:rPr>
        <w:t xml:space="preserve">diesel </w:t>
      </w:r>
      <w:r w:rsidRPr="006E01E5">
        <w:rPr>
          <w:rFonts w:ascii="Tahoma" w:hAnsi="Tahoma" w:cs="Tahoma"/>
          <w:sz w:val="22"/>
        </w:rPr>
        <w:t xml:space="preserve">e, allo stesso tempo, di garantire un'impareggiabile facilità d'uso e un miglioramento complessivo </w:t>
      </w:r>
      <w:r w:rsidR="002D6628">
        <w:rPr>
          <w:rFonts w:ascii="Tahoma" w:hAnsi="Tahoma" w:cs="Tahoma"/>
          <w:sz w:val="22"/>
        </w:rPr>
        <w:t xml:space="preserve">delle prestazioni </w:t>
      </w:r>
      <w:r w:rsidRPr="006E01E5">
        <w:rPr>
          <w:rFonts w:ascii="Tahoma" w:hAnsi="Tahoma" w:cs="Tahoma"/>
          <w:sz w:val="22"/>
        </w:rPr>
        <w:t xml:space="preserve">del veicolo nell'ordine del 20-30%. Coppia e potenza vengono trasmessi </w:t>
      </w:r>
      <w:r w:rsidR="002D6628">
        <w:rPr>
          <w:rFonts w:ascii="Tahoma" w:hAnsi="Tahoma" w:cs="Tahoma"/>
          <w:sz w:val="22"/>
        </w:rPr>
        <w:t xml:space="preserve">in modo continuo </w:t>
      </w:r>
      <w:r w:rsidR="00435FC2">
        <w:rPr>
          <w:rFonts w:ascii="Tahoma" w:hAnsi="Tahoma" w:cs="Tahoma"/>
          <w:sz w:val="22"/>
        </w:rPr>
        <w:t>mediante all’azionamento</w:t>
      </w:r>
      <w:r w:rsidR="002E3749">
        <w:rPr>
          <w:rFonts w:ascii="Tahoma" w:hAnsi="Tahoma" w:cs="Tahoma"/>
          <w:sz w:val="22"/>
        </w:rPr>
        <w:t xml:space="preserve"> di</w:t>
      </w:r>
      <w:r w:rsidRPr="006E01E5">
        <w:rPr>
          <w:rFonts w:ascii="Tahoma" w:hAnsi="Tahoma" w:cs="Tahoma"/>
          <w:sz w:val="22"/>
        </w:rPr>
        <w:t xml:space="preserve"> 6 rulli </w:t>
      </w:r>
      <w:r w:rsidR="002E3749">
        <w:rPr>
          <w:rFonts w:ascii="Tahoma" w:hAnsi="Tahoma" w:cs="Tahoma"/>
          <w:sz w:val="22"/>
        </w:rPr>
        <w:t>che lavorano in regime di</w:t>
      </w:r>
      <w:r w:rsidRPr="006E01E5">
        <w:rPr>
          <w:rFonts w:ascii="Tahoma" w:hAnsi="Tahoma" w:cs="Tahoma"/>
          <w:sz w:val="22"/>
        </w:rPr>
        <w:t xml:space="preserve"> lubrificazione </w:t>
      </w:r>
      <w:proofErr w:type="spellStart"/>
      <w:r w:rsidRPr="006E01E5">
        <w:rPr>
          <w:rFonts w:ascii="Tahoma" w:hAnsi="Tahoma" w:cs="Tahoma"/>
          <w:sz w:val="22"/>
        </w:rPr>
        <w:t>el</w:t>
      </w:r>
      <w:r w:rsidR="002E3749">
        <w:rPr>
          <w:rFonts w:ascii="Tahoma" w:hAnsi="Tahoma" w:cs="Tahoma"/>
          <w:sz w:val="22"/>
        </w:rPr>
        <w:t>asto</w:t>
      </w:r>
      <w:proofErr w:type="spellEnd"/>
      <w:r w:rsidR="002E3749">
        <w:rPr>
          <w:rFonts w:ascii="Tahoma" w:hAnsi="Tahoma" w:cs="Tahoma"/>
          <w:sz w:val="22"/>
        </w:rPr>
        <w:t>-</w:t>
      </w:r>
      <w:r w:rsidRPr="006E01E5">
        <w:rPr>
          <w:rFonts w:ascii="Tahoma" w:hAnsi="Tahoma" w:cs="Tahoma"/>
          <w:sz w:val="22"/>
        </w:rPr>
        <w:t xml:space="preserve">idrodinamica, che impedisce il contatto del metallo sul metallo pur garantendo il corretto trasferimento della coppia senza </w:t>
      </w:r>
      <w:r w:rsidR="00283210" w:rsidRPr="006E01E5">
        <w:rPr>
          <w:rFonts w:ascii="Tahoma" w:hAnsi="Tahoma" w:cs="Tahoma"/>
          <w:sz w:val="22"/>
        </w:rPr>
        <w:t>scivolamento</w:t>
      </w:r>
      <w:r w:rsidR="00283210">
        <w:rPr>
          <w:rFonts w:ascii="Tahoma" w:hAnsi="Tahoma" w:cs="Tahoma"/>
          <w:sz w:val="22"/>
        </w:rPr>
        <w:t xml:space="preserve"> scorrimento</w:t>
      </w:r>
      <w:r w:rsidRPr="006E01E5">
        <w:rPr>
          <w:rFonts w:ascii="Tahoma" w:hAnsi="Tahoma" w:cs="Tahoma"/>
          <w:sz w:val="22"/>
        </w:rPr>
        <w:t>.</w:t>
      </w:r>
    </w:p>
    <w:p w:rsidR="006E01E5" w:rsidRPr="006E01E5" w:rsidRDefault="006E01E5" w:rsidP="006E01E5">
      <w:pPr>
        <w:tabs>
          <w:tab w:val="left" w:pos="2544"/>
        </w:tabs>
        <w:jc w:val="both"/>
        <w:rPr>
          <w:rFonts w:ascii="Tahoma" w:hAnsi="Tahoma" w:cs="Tahoma"/>
          <w:sz w:val="22"/>
        </w:rPr>
      </w:pPr>
    </w:p>
    <w:p w:rsidR="006E01E5" w:rsidRPr="006E01E5" w:rsidRDefault="006E01E5" w:rsidP="006E01E5">
      <w:pPr>
        <w:tabs>
          <w:tab w:val="left" w:pos="2544"/>
        </w:tabs>
        <w:jc w:val="both"/>
        <w:rPr>
          <w:rFonts w:ascii="Tahoma" w:hAnsi="Tahoma" w:cs="Tahoma"/>
          <w:sz w:val="22"/>
        </w:rPr>
      </w:pPr>
      <w:r w:rsidRPr="006E01E5">
        <w:rPr>
          <w:rFonts w:ascii="Tahoma" w:hAnsi="Tahoma" w:cs="Tahoma"/>
          <w:sz w:val="22"/>
        </w:rPr>
        <w:t xml:space="preserve">Grazie alle sue speciali caratteristiche tecniche, </w:t>
      </w:r>
      <w:proofErr w:type="spellStart"/>
      <w:r w:rsidRPr="006E01E5">
        <w:rPr>
          <w:rFonts w:ascii="Tahoma" w:hAnsi="Tahoma" w:cs="Tahoma"/>
          <w:sz w:val="22"/>
        </w:rPr>
        <w:t>ECGenius</w:t>
      </w:r>
      <w:proofErr w:type="spellEnd"/>
      <w:r w:rsidRPr="006E01E5">
        <w:rPr>
          <w:rFonts w:ascii="Tahoma" w:hAnsi="Tahoma" w:cs="Tahoma"/>
          <w:sz w:val="22"/>
        </w:rPr>
        <w:t xml:space="preserve"> è la trasmissione meccanica con variazione continua (</w:t>
      </w:r>
      <w:proofErr w:type="spellStart"/>
      <w:r w:rsidRPr="006E01E5">
        <w:rPr>
          <w:rFonts w:ascii="Tahoma" w:hAnsi="Tahoma" w:cs="Tahoma"/>
          <w:sz w:val="22"/>
        </w:rPr>
        <w:t>Continuously</w:t>
      </w:r>
      <w:proofErr w:type="spellEnd"/>
      <w:r w:rsidRPr="006E01E5">
        <w:rPr>
          <w:rFonts w:ascii="Tahoma" w:hAnsi="Tahoma" w:cs="Tahoma"/>
          <w:sz w:val="22"/>
        </w:rPr>
        <w:t xml:space="preserve"> </w:t>
      </w:r>
      <w:proofErr w:type="spellStart"/>
      <w:r w:rsidRPr="006E01E5">
        <w:rPr>
          <w:rFonts w:ascii="Tahoma" w:hAnsi="Tahoma" w:cs="Tahoma"/>
          <w:sz w:val="22"/>
        </w:rPr>
        <w:t>Variable</w:t>
      </w:r>
      <w:proofErr w:type="spellEnd"/>
      <w:r w:rsidRPr="006E01E5">
        <w:rPr>
          <w:rFonts w:ascii="Tahoma" w:hAnsi="Tahoma" w:cs="Tahoma"/>
          <w:sz w:val="22"/>
        </w:rPr>
        <w:t xml:space="preserve"> </w:t>
      </w:r>
      <w:proofErr w:type="spellStart"/>
      <w:r w:rsidRPr="006E01E5">
        <w:rPr>
          <w:rFonts w:ascii="Tahoma" w:hAnsi="Tahoma" w:cs="Tahoma"/>
          <w:sz w:val="22"/>
        </w:rPr>
        <w:t>Transmission</w:t>
      </w:r>
      <w:proofErr w:type="spellEnd"/>
      <w:r w:rsidRPr="006E01E5">
        <w:rPr>
          <w:rFonts w:ascii="Tahoma" w:hAnsi="Tahoma" w:cs="Tahoma"/>
          <w:sz w:val="22"/>
        </w:rPr>
        <w:t>, CVT) più affidabile presente sul mercato.</w:t>
      </w:r>
    </w:p>
    <w:p w:rsidR="006E01E5" w:rsidRPr="006E01E5" w:rsidRDefault="006E01E5" w:rsidP="006E01E5">
      <w:pPr>
        <w:tabs>
          <w:tab w:val="left" w:pos="2544"/>
        </w:tabs>
        <w:jc w:val="both"/>
        <w:rPr>
          <w:rFonts w:ascii="Tahoma" w:hAnsi="Tahoma" w:cs="Tahoma"/>
          <w:sz w:val="22"/>
        </w:rPr>
      </w:pPr>
    </w:p>
    <w:p w:rsidR="006E01E5" w:rsidRPr="006E01E5" w:rsidRDefault="006E01E5" w:rsidP="006E01E5">
      <w:pPr>
        <w:tabs>
          <w:tab w:val="left" w:pos="2544"/>
        </w:tabs>
        <w:jc w:val="both"/>
        <w:rPr>
          <w:rFonts w:ascii="Tahoma" w:hAnsi="Tahoma" w:cs="Tahoma"/>
          <w:sz w:val="22"/>
        </w:rPr>
      </w:pPr>
      <w:r w:rsidRPr="006E01E5">
        <w:rPr>
          <w:rFonts w:ascii="Tahoma" w:hAnsi="Tahoma" w:cs="Tahoma"/>
          <w:sz w:val="22"/>
        </w:rPr>
        <w:t xml:space="preserve">Il design robusto è </w:t>
      </w:r>
      <w:r w:rsidR="002E3749">
        <w:rPr>
          <w:rFonts w:ascii="Tahoma" w:hAnsi="Tahoma" w:cs="Tahoma"/>
          <w:sz w:val="22"/>
        </w:rPr>
        <w:t xml:space="preserve">stato </w:t>
      </w:r>
      <w:r w:rsidRPr="006E01E5">
        <w:rPr>
          <w:rFonts w:ascii="Tahoma" w:hAnsi="Tahoma" w:cs="Tahoma"/>
          <w:sz w:val="22"/>
        </w:rPr>
        <w:t xml:space="preserve">studiato per </w:t>
      </w:r>
      <w:r w:rsidR="002E3749">
        <w:rPr>
          <w:rFonts w:ascii="Tahoma" w:hAnsi="Tahoma" w:cs="Tahoma"/>
          <w:sz w:val="22"/>
        </w:rPr>
        <w:t>sopportare</w:t>
      </w:r>
      <w:r w:rsidRPr="006E01E5">
        <w:rPr>
          <w:rFonts w:ascii="Tahoma" w:hAnsi="Tahoma" w:cs="Tahoma"/>
          <w:sz w:val="22"/>
        </w:rPr>
        <w:t xml:space="preserve"> i carichi</w:t>
      </w:r>
      <w:r w:rsidR="002E3749">
        <w:rPr>
          <w:rFonts w:ascii="Tahoma" w:hAnsi="Tahoma" w:cs="Tahoma"/>
          <w:sz w:val="22"/>
        </w:rPr>
        <w:t xml:space="preserve"> impulsivi tipici di queste</w:t>
      </w:r>
      <w:r w:rsidRPr="006E01E5">
        <w:rPr>
          <w:rFonts w:ascii="Tahoma" w:hAnsi="Tahoma" w:cs="Tahoma"/>
          <w:sz w:val="22"/>
        </w:rPr>
        <w:t xml:space="preserve"> applicazioni, mentre il sistema di controllo preciso e stabile è </w:t>
      </w:r>
      <w:r w:rsidR="002E3749">
        <w:rPr>
          <w:rFonts w:ascii="Tahoma" w:hAnsi="Tahoma" w:cs="Tahoma"/>
          <w:sz w:val="22"/>
        </w:rPr>
        <w:t>caratter</w:t>
      </w:r>
      <w:r w:rsidR="00863EB1">
        <w:rPr>
          <w:rFonts w:ascii="Tahoma" w:hAnsi="Tahoma" w:cs="Tahoma"/>
          <w:sz w:val="22"/>
        </w:rPr>
        <w:t xml:space="preserve">izzato dal fatto di non essere </w:t>
      </w:r>
      <w:r w:rsidR="002E3749">
        <w:rPr>
          <w:rFonts w:ascii="Tahoma" w:hAnsi="Tahoma" w:cs="Tahoma"/>
          <w:sz w:val="22"/>
        </w:rPr>
        <w:t>influenzato</w:t>
      </w:r>
      <w:r w:rsidRPr="006E01E5">
        <w:rPr>
          <w:rFonts w:ascii="Tahoma" w:hAnsi="Tahoma" w:cs="Tahoma"/>
          <w:sz w:val="22"/>
        </w:rPr>
        <w:t xml:space="preserve"> dalle variazioni del carico</w:t>
      </w:r>
      <w:r w:rsidR="002E3749">
        <w:rPr>
          <w:rFonts w:ascii="Tahoma" w:hAnsi="Tahoma" w:cs="Tahoma"/>
          <w:sz w:val="22"/>
        </w:rPr>
        <w:t xml:space="preserve">. Il </w:t>
      </w:r>
      <w:r w:rsidR="00283210">
        <w:rPr>
          <w:rFonts w:ascii="Tahoma" w:hAnsi="Tahoma" w:cs="Tahoma"/>
          <w:sz w:val="22"/>
        </w:rPr>
        <w:t>progetto</w:t>
      </w:r>
      <w:r w:rsidR="002E3749">
        <w:rPr>
          <w:rFonts w:ascii="Tahoma" w:hAnsi="Tahoma" w:cs="Tahoma"/>
          <w:sz w:val="22"/>
        </w:rPr>
        <w:t xml:space="preserve"> </w:t>
      </w:r>
      <w:r w:rsidRPr="006E01E5">
        <w:rPr>
          <w:rFonts w:ascii="Tahoma" w:hAnsi="Tahoma" w:cs="Tahoma"/>
          <w:sz w:val="22"/>
        </w:rPr>
        <w:t xml:space="preserve">inoltre è stato </w:t>
      </w:r>
      <w:r w:rsidR="00283210">
        <w:rPr>
          <w:rFonts w:ascii="Tahoma" w:hAnsi="Tahoma" w:cs="Tahoma"/>
          <w:sz w:val="22"/>
        </w:rPr>
        <w:t>validato</w:t>
      </w:r>
      <w:r w:rsidR="002E3749">
        <w:rPr>
          <w:rFonts w:ascii="Tahoma" w:hAnsi="Tahoma" w:cs="Tahoma"/>
          <w:sz w:val="22"/>
        </w:rPr>
        <w:t xml:space="preserve"> con</w:t>
      </w:r>
      <w:r w:rsidRPr="006E01E5">
        <w:rPr>
          <w:rFonts w:ascii="Tahoma" w:hAnsi="Tahoma" w:cs="Tahoma"/>
          <w:sz w:val="22"/>
        </w:rPr>
        <w:t xml:space="preserve"> oltre 500.000 ore cumulative di test completate in laboratorio e</w:t>
      </w:r>
      <w:r w:rsidR="002E3749">
        <w:rPr>
          <w:rFonts w:ascii="Tahoma" w:hAnsi="Tahoma" w:cs="Tahoma"/>
          <w:sz w:val="22"/>
        </w:rPr>
        <w:t xml:space="preserve"> da OEM</w:t>
      </w:r>
      <w:r w:rsidRPr="006E01E5">
        <w:rPr>
          <w:rFonts w:ascii="Tahoma" w:hAnsi="Tahoma" w:cs="Tahoma"/>
          <w:sz w:val="22"/>
        </w:rPr>
        <w:t xml:space="preserve"> </w:t>
      </w:r>
      <w:r w:rsidR="002E3749">
        <w:rPr>
          <w:rFonts w:ascii="Tahoma" w:hAnsi="Tahoma" w:cs="Tahoma"/>
          <w:sz w:val="22"/>
        </w:rPr>
        <w:t>in</w:t>
      </w:r>
      <w:r w:rsidR="002E3749" w:rsidRPr="006E01E5">
        <w:rPr>
          <w:rFonts w:ascii="Tahoma" w:hAnsi="Tahoma" w:cs="Tahoma"/>
          <w:sz w:val="22"/>
        </w:rPr>
        <w:t xml:space="preserve"> </w:t>
      </w:r>
      <w:r w:rsidRPr="006E01E5">
        <w:rPr>
          <w:rFonts w:ascii="Tahoma" w:hAnsi="Tahoma" w:cs="Tahoma"/>
          <w:sz w:val="22"/>
        </w:rPr>
        <w:t>applicazioni reali.</w:t>
      </w:r>
    </w:p>
    <w:p w:rsidR="006E01E5" w:rsidRPr="006E01E5" w:rsidRDefault="006E01E5" w:rsidP="006E01E5">
      <w:pPr>
        <w:tabs>
          <w:tab w:val="left" w:pos="2544"/>
        </w:tabs>
        <w:jc w:val="both"/>
        <w:rPr>
          <w:rFonts w:ascii="Tahoma" w:hAnsi="Tahoma" w:cs="Tahoma"/>
          <w:sz w:val="22"/>
        </w:rPr>
      </w:pPr>
      <w:r w:rsidRPr="006E01E5">
        <w:rPr>
          <w:rFonts w:ascii="Tahoma" w:hAnsi="Tahoma" w:cs="Tahoma"/>
          <w:sz w:val="22"/>
        </w:rPr>
        <w:tab/>
      </w:r>
    </w:p>
    <w:p w:rsidR="006E01E5" w:rsidRPr="006E01E5" w:rsidRDefault="00283210" w:rsidP="006E01E5">
      <w:pPr>
        <w:tabs>
          <w:tab w:val="left" w:pos="2544"/>
        </w:tabs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L</w:t>
      </w:r>
      <w:r w:rsidR="006E01E5" w:rsidRPr="006E01E5">
        <w:rPr>
          <w:rFonts w:ascii="Tahoma" w:hAnsi="Tahoma" w:cs="Tahoma"/>
          <w:sz w:val="22"/>
        </w:rPr>
        <w:t>'algoritmo dell'unità di controllo della trasmissione</w:t>
      </w:r>
      <w:r w:rsidR="002E3749">
        <w:rPr>
          <w:rFonts w:ascii="Tahoma" w:hAnsi="Tahoma" w:cs="Tahoma"/>
          <w:sz w:val="22"/>
        </w:rPr>
        <w:t xml:space="preserve"> (TCU) utilizza di dati del</w:t>
      </w:r>
      <w:r w:rsidR="006E01E5" w:rsidRPr="006E01E5">
        <w:rPr>
          <w:rFonts w:ascii="Tahoma" w:hAnsi="Tahoma" w:cs="Tahoma"/>
          <w:sz w:val="22"/>
        </w:rPr>
        <w:t xml:space="preserve"> motore e </w:t>
      </w:r>
      <w:r w:rsidR="002E3749">
        <w:rPr>
          <w:rFonts w:ascii="Tahoma" w:hAnsi="Tahoma" w:cs="Tahoma"/>
          <w:sz w:val="22"/>
        </w:rPr>
        <w:t>del</w:t>
      </w:r>
      <w:r w:rsidR="006E01E5" w:rsidRPr="006E01E5">
        <w:rPr>
          <w:rFonts w:ascii="Tahoma" w:hAnsi="Tahoma" w:cs="Tahoma"/>
          <w:sz w:val="22"/>
        </w:rPr>
        <w:t xml:space="preserve">la trasmissione </w:t>
      </w:r>
      <w:r w:rsidR="002E3749">
        <w:rPr>
          <w:rFonts w:ascii="Tahoma" w:hAnsi="Tahoma" w:cs="Tahoma"/>
          <w:sz w:val="22"/>
        </w:rPr>
        <w:t>in modo da garantire</w:t>
      </w:r>
      <w:r w:rsidR="006E01E5" w:rsidRPr="006E01E5">
        <w:rPr>
          <w:rFonts w:ascii="Tahoma" w:hAnsi="Tahoma" w:cs="Tahoma"/>
          <w:sz w:val="22"/>
        </w:rPr>
        <w:t xml:space="preserve"> la massima efficienza del veicolo e l'ottimizzazione complessiva del sistema. Il software è di facile integrazione e può includere speciali modalità operative per applicazioni specifiche, garantendo il massimo dell'operatività. </w:t>
      </w:r>
      <w:r w:rsidR="002E3749">
        <w:rPr>
          <w:rFonts w:ascii="Tahoma" w:hAnsi="Tahoma" w:cs="Tahoma"/>
          <w:sz w:val="22"/>
        </w:rPr>
        <w:t>L’</w:t>
      </w:r>
      <w:r w:rsidR="006E01E5" w:rsidRPr="006E01E5">
        <w:rPr>
          <w:rFonts w:ascii="Tahoma" w:hAnsi="Tahoma" w:cs="Tahoma"/>
          <w:sz w:val="22"/>
        </w:rPr>
        <w:t>architettura</w:t>
      </w:r>
      <w:r>
        <w:rPr>
          <w:rFonts w:ascii="Tahoma" w:hAnsi="Tahoma" w:cs="Tahoma"/>
          <w:sz w:val="22"/>
        </w:rPr>
        <w:t xml:space="preserve"> </w:t>
      </w:r>
      <w:r w:rsidR="002E3749">
        <w:rPr>
          <w:rFonts w:ascii="Tahoma" w:hAnsi="Tahoma" w:cs="Tahoma"/>
          <w:sz w:val="22"/>
        </w:rPr>
        <w:t>del software è</w:t>
      </w:r>
      <w:r w:rsidR="006E01E5" w:rsidRPr="006E01E5">
        <w:rPr>
          <w:rFonts w:ascii="Tahoma" w:hAnsi="Tahoma" w:cs="Tahoma"/>
          <w:sz w:val="22"/>
        </w:rPr>
        <w:t xml:space="preserve"> personalizzabile </w:t>
      </w:r>
      <w:r w:rsidR="002E3749">
        <w:rPr>
          <w:rFonts w:ascii="Tahoma" w:hAnsi="Tahoma" w:cs="Tahoma"/>
          <w:sz w:val="22"/>
        </w:rPr>
        <w:t>in modo da offrire l</w:t>
      </w:r>
      <w:r w:rsidR="006E01E5" w:rsidRPr="006E01E5">
        <w:rPr>
          <w:rFonts w:ascii="Tahoma" w:hAnsi="Tahoma" w:cs="Tahoma"/>
          <w:sz w:val="22"/>
        </w:rPr>
        <w:t xml:space="preserve">a massima flessibilità </w:t>
      </w:r>
      <w:r w:rsidR="002E3749">
        <w:rPr>
          <w:rFonts w:ascii="Tahoma" w:hAnsi="Tahoma" w:cs="Tahoma"/>
          <w:sz w:val="22"/>
        </w:rPr>
        <w:t>di adattamento</w:t>
      </w:r>
      <w:r w:rsidR="006E01E5" w:rsidRPr="006E01E5">
        <w:rPr>
          <w:rFonts w:ascii="Tahoma" w:hAnsi="Tahoma" w:cs="Tahoma"/>
          <w:sz w:val="22"/>
        </w:rPr>
        <w:t xml:space="preserve"> ai diversi requisiti </w:t>
      </w:r>
      <w:r w:rsidR="002E3749">
        <w:rPr>
          <w:rFonts w:ascii="Tahoma" w:hAnsi="Tahoma" w:cs="Tahoma"/>
          <w:sz w:val="22"/>
        </w:rPr>
        <w:t xml:space="preserve">applicativi e </w:t>
      </w:r>
      <w:r w:rsidR="006E01E5" w:rsidRPr="006E01E5">
        <w:rPr>
          <w:rFonts w:ascii="Tahoma" w:hAnsi="Tahoma" w:cs="Tahoma"/>
          <w:sz w:val="22"/>
        </w:rPr>
        <w:t>geografici</w:t>
      </w:r>
      <w:r>
        <w:rPr>
          <w:rFonts w:ascii="Tahoma" w:hAnsi="Tahoma" w:cs="Tahoma"/>
          <w:sz w:val="22"/>
        </w:rPr>
        <w:t xml:space="preserve">. </w:t>
      </w:r>
    </w:p>
    <w:p w:rsidR="006E01E5" w:rsidRPr="006E01E5" w:rsidRDefault="006E01E5" w:rsidP="006E01E5">
      <w:pPr>
        <w:tabs>
          <w:tab w:val="left" w:pos="2544"/>
        </w:tabs>
        <w:jc w:val="both"/>
        <w:rPr>
          <w:rFonts w:ascii="Tahoma" w:hAnsi="Tahoma" w:cs="Tahoma"/>
          <w:sz w:val="22"/>
        </w:rPr>
      </w:pPr>
    </w:p>
    <w:p w:rsidR="006E01E5" w:rsidRPr="006E01E5" w:rsidRDefault="006E01E5" w:rsidP="006E01E5">
      <w:pPr>
        <w:tabs>
          <w:tab w:val="left" w:pos="2544"/>
        </w:tabs>
        <w:jc w:val="both"/>
        <w:rPr>
          <w:rFonts w:ascii="Tahoma" w:hAnsi="Tahoma" w:cs="Tahoma"/>
          <w:sz w:val="22"/>
        </w:rPr>
      </w:pPr>
      <w:r w:rsidRPr="006E01E5">
        <w:rPr>
          <w:rFonts w:ascii="Tahoma" w:hAnsi="Tahoma" w:cs="Tahoma"/>
          <w:sz w:val="22"/>
        </w:rPr>
        <w:t xml:space="preserve">L'architettura </w:t>
      </w:r>
      <w:r w:rsidR="002E3749">
        <w:rPr>
          <w:rFonts w:ascii="Tahoma" w:hAnsi="Tahoma" w:cs="Tahoma"/>
          <w:sz w:val="22"/>
        </w:rPr>
        <w:t>del variatore meccanico</w:t>
      </w:r>
      <w:r w:rsidRPr="006E01E5">
        <w:rPr>
          <w:rFonts w:ascii="Tahoma" w:hAnsi="Tahoma" w:cs="Tahoma"/>
          <w:sz w:val="22"/>
        </w:rPr>
        <w:t xml:space="preserve"> </w:t>
      </w:r>
      <w:r w:rsidR="002E3749">
        <w:rPr>
          <w:rFonts w:ascii="Tahoma" w:hAnsi="Tahoma" w:cs="Tahoma"/>
          <w:sz w:val="22"/>
        </w:rPr>
        <w:t>garantisce</w:t>
      </w:r>
      <w:r w:rsidRPr="006E01E5">
        <w:rPr>
          <w:rFonts w:ascii="Tahoma" w:hAnsi="Tahoma" w:cs="Tahoma"/>
          <w:sz w:val="22"/>
        </w:rPr>
        <w:t xml:space="preserve"> un cambio fluido e senza soluzione di continuità attraverso un numero infinito velocità di avanzamento. </w:t>
      </w:r>
      <w:r w:rsidR="004F3C3D" w:rsidRPr="006E01E5">
        <w:rPr>
          <w:rFonts w:ascii="Tahoma" w:hAnsi="Tahoma" w:cs="Tahoma"/>
          <w:sz w:val="22"/>
        </w:rPr>
        <w:t>È</w:t>
      </w:r>
      <w:r w:rsidRPr="006E01E5">
        <w:rPr>
          <w:rFonts w:ascii="Tahoma" w:hAnsi="Tahoma" w:cs="Tahoma"/>
          <w:sz w:val="22"/>
        </w:rPr>
        <w:t xml:space="preserve"> l'innovativo design della trasmissione con controllo </w:t>
      </w:r>
      <w:r w:rsidR="00C1058D">
        <w:rPr>
          <w:rFonts w:ascii="Tahoma" w:hAnsi="Tahoma" w:cs="Tahoma"/>
          <w:sz w:val="22"/>
        </w:rPr>
        <w:t>d</w:t>
      </w:r>
      <w:r w:rsidRPr="006E01E5">
        <w:rPr>
          <w:rFonts w:ascii="Tahoma" w:hAnsi="Tahoma" w:cs="Tahoma"/>
          <w:sz w:val="22"/>
        </w:rPr>
        <w:t>e</w:t>
      </w:r>
      <w:r w:rsidR="00C1058D">
        <w:rPr>
          <w:rFonts w:ascii="Tahoma" w:hAnsi="Tahoma" w:cs="Tahoma"/>
          <w:sz w:val="22"/>
        </w:rPr>
        <w:t>l</w:t>
      </w:r>
      <w:r w:rsidRPr="006E01E5">
        <w:rPr>
          <w:rFonts w:ascii="Tahoma" w:hAnsi="Tahoma" w:cs="Tahoma"/>
          <w:sz w:val="22"/>
        </w:rPr>
        <w:t xml:space="preserve"> </w:t>
      </w:r>
      <w:r w:rsidR="00C1058D">
        <w:rPr>
          <w:rFonts w:ascii="Tahoma" w:hAnsi="Tahoma" w:cs="Tahoma"/>
          <w:sz w:val="22"/>
        </w:rPr>
        <w:t xml:space="preserve">sistema a </w:t>
      </w:r>
      <w:r w:rsidRPr="006E01E5">
        <w:rPr>
          <w:rFonts w:ascii="Tahoma" w:hAnsi="Tahoma" w:cs="Tahoma"/>
          <w:sz w:val="22"/>
        </w:rPr>
        <w:t xml:space="preserve">frizione riduce il numero di componenti meccanici e, di conseguenza, anche delle perdite meccaniche e viscose. Il cambio senza soluzione di continuità consente </w:t>
      </w:r>
      <w:r w:rsidR="00C1058D">
        <w:rPr>
          <w:rFonts w:ascii="Tahoma" w:hAnsi="Tahoma" w:cs="Tahoma"/>
          <w:sz w:val="22"/>
        </w:rPr>
        <w:t xml:space="preserve">sempre </w:t>
      </w:r>
      <w:r w:rsidRPr="006E01E5">
        <w:rPr>
          <w:rFonts w:ascii="Tahoma" w:hAnsi="Tahoma" w:cs="Tahoma"/>
          <w:sz w:val="22"/>
        </w:rPr>
        <w:t xml:space="preserve">al motore di funzionare </w:t>
      </w:r>
      <w:r w:rsidR="00C1058D">
        <w:rPr>
          <w:rFonts w:ascii="Tahoma" w:hAnsi="Tahoma" w:cs="Tahoma"/>
          <w:sz w:val="22"/>
        </w:rPr>
        <w:t>nel suo</w:t>
      </w:r>
      <w:r w:rsidRPr="006E01E5">
        <w:rPr>
          <w:rFonts w:ascii="Tahoma" w:hAnsi="Tahoma" w:cs="Tahoma"/>
          <w:sz w:val="22"/>
        </w:rPr>
        <w:t xml:space="preserve"> punto di lavoro ottimale</w:t>
      </w:r>
      <w:r w:rsidR="00C1058D">
        <w:rPr>
          <w:rFonts w:ascii="Tahoma" w:hAnsi="Tahoma" w:cs="Tahoma"/>
          <w:sz w:val="22"/>
        </w:rPr>
        <w:t xml:space="preserve">, il </w:t>
      </w:r>
      <w:r w:rsidRPr="006E01E5">
        <w:rPr>
          <w:rFonts w:ascii="Tahoma" w:hAnsi="Tahoma" w:cs="Tahoma"/>
          <w:sz w:val="22"/>
        </w:rPr>
        <w:t xml:space="preserve">che si traduce in </w:t>
      </w:r>
      <w:r w:rsidR="00C1058D">
        <w:rPr>
          <w:rFonts w:ascii="Tahoma" w:hAnsi="Tahoma" w:cs="Tahoma"/>
          <w:sz w:val="22"/>
        </w:rPr>
        <w:t xml:space="preserve">maggiore </w:t>
      </w:r>
      <w:r w:rsidRPr="006E01E5">
        <w:rPr>
          <w:rFonts w:ascii="Tahoma" w:hAnsi="Tahoma" w:cs="Tahoma"/>
          <w:sz w:val="22"/>
        </w:rPr>
        <w:t xml:space="preserve">efficienza </w:t>
      </w:r>
      <w:r w:rsidR="00C1058D">
        <w:rPr>
          <w:rFonts w:ascii="Tahoma" w:hAnsi="Tahoma" w:cs="Tahoma"/>
          <w:sz w:val="22"/>
        </w:rPr>
        <w:t xml:space="preserve">e riduzione dei consumi </w:t>
      </w:r>
      <w:r w:rsidRPr="006E01E5">
        <w:rPr>
          <w:rFonts w:ascii="Tahoma" w:hAnsi="Tahoma" w:cs="Tahoma"/>
          <w:sz w:val="22"/>
        </w:rPr>
        <w:t>d</w:t>
      </w:r>
      <w:r w:rsidR="00C1058D">
        <w:rPr>
          <w:rFonts w:ascii="Tahoma" w:hAnsi="Tahoma" w:cs="Tahoma"/>
          <w:sz w:val="22"/>
        </w:rPr>
        <w:t>i</w:t>
      </w:r>
      <w:r w:rsidRPr="006E01E5">
        <w:rPr>
          <w:rFonts w:ascii="Tahoma" w:hAnsi="Tahoma" w:cs="Tahoma"/>
          <w:sz w:val="22"/>
        </w:rPr>
        <w:t xml:space="preserve"> combustibile.</w:t>
      </w:r>
    </w:p>
    <w:p w:rsidR="006E01E5" w:rsidRPr="006E01E5" w:rsidRDefault="006E01E5" w:rsidP="006E01E5">
      <w:pPr>
        <w:tabs>
          <w:tab w:val="left" w:pos="2544"/>
        </w:tabs>
        <w:jc w:val="both"/>
        <w:rPr>
          <w:rFonts w:ascii="Tahoma" w:hAnsi="Tahoma" w:cs="Tahoma"/>
          <w:sz w:val="22"/>
        </w:rPr>
      </w:pPr>
    </w:p>
    <w:p w:rsidR="001E01C4" w:rsidRDefault="006E01E5" w:rsidP="006E01E5">
      <w:pPr>
        <w:tabs>
          <w:tab w:val="left" w:pos="2544"/>
        </w:tabs>
        <w:jc w:val="both"/>
        <w:rPr>
          <w:rFonts w:ascii="Tahoma" w:hAnsi="Tahoma" w:cs="Tahoma"/>
          <w:sz w:val="22"/>
        </w:rPr>
      </w:pPr>
      <w:proofErr w:type="spellStart"/>
      <w:r w:rsidRPr="006E01E5">
        <w:rPr>
          <w:rFonts w:ascii="Tahoma" w:hAnsi="Tahoma" w:cs="Tahoma"/>
          <w:sz w:val="22"/>
        </w:rPr>
        <w:t>ECGenius</w:t>
      </w:r>
      <w:proofErr w:type="spellEnd"/>
      <w:r w:rsidRPr="006E01E5">
        <w:rPr>
          <w:rFonts w:ascii="Tahoma" w:hAnsi="Tahoma" w:cs="Tahoma"/>
          <w:sz w:val="22"/>
        </w:rPr>
        <w:t xml:space="preserve"> è il risultato dell'accordo di licenza tra Bonfiglioli e CVTCORP, leader mondiale nella progettazione e nello sviluppo di trasmissioni meccaniche con variazione continua (</w:t>
      </w:r>
      <w:proofErr w:type="spellStart"/>
      <w:r w:rsidRPr="006E01E5">
        <w:rPr>
          <w:rFonts w:ascii="Tahoma" w:hAnsi="Tahoma" w:cs="Tahoma"/>
          <w:sz w:val="22"/>
        </w:rPr>
        <w:t>mCVT</w:t>
      </w:r>
      <w:proofErr w:type="spellEnd"/>
      <w:r w:rsidRPr="006E01E5">
        <w:rPr>
          <w:rFonts w:ascii="Tahoma" w:hAnsi="Tahoma" w:cs="Tahoma"/>
          <w:sz w:val="22"/>
        </w:rPr>
        <w:t>) rivoluzionarie e ad elevata efficienza per il segmento off-</w:t>
      </w:r>
      <w:proofErr w:type="spellStart"/>
      <w:r w:rsidRPr="006E01E5">
        <w:rPr>
          <w:rFonts w:ascii="Tahoma" w:hAnsi="Tahoma" w:cs="Tahoma"/>
          <w:sz w:val="22"/>
        </w:rPr>
        <w:t>highway</w:t>
      </w:r>
      <w:proofErr w:type="spellEnd"/>
      <w:r w:rsidRPr="006E01E5">
        <w:rPr>
          <w:rFonts w:ascii="Tahoma" w:hAnsi="Tahoma" w:cs="Tahoma"/>
          <w:sz w:val="22"/>
        </w:rPr>
        <w:t>. L'accordo di licenza include il trasferimento della produzione di ECGenius150, oltre all'attuale pipeline di vendita CVTCORP con volumi di commercializzazione previsti per l'inizio del 2020.</w:t>
      </w:r>
    </w:p>
    <w:p w:rsidR="006E01E5" w:rsidRDefault="006E01E5" w:rsidP="006E01E5">
      <w:pPr>
        <w:tabs>
          <w:tab w:val="left" w:pos="2544"/>
        </w:tabs>
        <w:jc w:val="both"/>
        <w:rPr>
          <w:rFonts w:ascii="Tahoma" w:hAnsi="Tahoma" w:cs="Tahoma"/>
          <w:sz w:val="22"/>
        </w:rPr>
      </w:pPr>
    </w:p>
    <w:p w:rsidR="006E01E5" w:rsidRDefault="006E01E5" w:rsidP="006E01E5">
      <w:pPr>
        <w:tabs>
          <w:tab w:val="left" w:pos="2544"/>
        </w:tabs>
        <w:jc w:val="both"/>
        <w:rPr>
          <w:rFonts w:ascii="Tahoma" w:hAnsi="Tahoma" w:cs="Tahoma"/>
          <w:sz w:val="22"/>
        </w:rPr>
      </w:pPr>
    </w:p>
    <w:p w:rsidR="006E01E5" w:rsidRPr="000C5E61" w:rsidRDefault="006E01E5" w:rsidP="006E01E5">
      <w:pPr>
        <w:tabs>
          <w:tab w:val="left" w:pos="2544"/>
        </w:tabs>
        <w:jc w:val="both"/>
        <w:rPr>
          <w:rFonts w:ascii="Arial" w:hAnsi="Arial"/>
        </w:rPr>
      </w:pPr>
    </w:p>
    <w:p w:rsidR="008F7906" w:rsidRPr="008F7906" w:rsidRDefault="008F7906" w:rsidP="006E01E5">
      <w:pPr>
        <w:spacing w:line="360" w:lineRule="auto"/>
        <w:jc w:val="both"/>
        <w:rPr>
          <w:rStyle w:val="menu2"/>
          <w:rFonts w:ascii="Tahoma" w:hAnsi="Tahoma" w:cs="Tahoma"/>
          <w:b/>
          <w:bCs/>
          <w:sz w:val="22"/>
          <w:szCs w:val="22"/>
        </w:rPr>
      </w:pPr>
      <w:r w:rsidRPr="008F7906">
        <w:rPr>
          <w:rStyle w:val="menu2"/>
          <w:rFonts w:ascii="Tahoma" w:hAnsi="Tahoma" w:cs="Tahoma"/>
          <w:b/>
          <w:bCs/>
          <w:sz w:val="22"/>
          <w:szCs w:val="22"/>
        </w:rPr>
        <w:t>Informazioni su Bonfiglioli</w:t>
      </w:r>
    </w:p>
    <w:p w:rsidR="008F7906" w:rsidRPr="008F7906" w:rsidRDefault="008F7906" w:rsidP="006E01E5">
      <w:pPr>
        <w:jc w:val="both"/>
        <w:rPr>
          <w:rStyle w:val="menu2"/>
          <w:rFonts w:ascii="Tahoma" w:hAnsi="Tahoma" w:cs="Tahoma"/>
          <w:sz w:val="22"/>
          <w:szCs w:val="22"/>
        </w:rPr>
      </w:pPr>
      <w:r w:rsidRPr="008F7906">
        <w:rPr>
          <w:rStyle w:val="menu2"/>
          <w:rFonts w:ascii="Tahoma" w:hAnsi="Tahoma" w:cs="Tahoma"/>
          <w:sz w:val="22"/>
          <w:szCs w:val="22"/>
        </w:rPr>
        <w:t>Bonfiglioli progetta, fabbrica e distribuisce di una gamma completa di motoriduttori, motori elettrici, riduttori epicicloidali e inverter, in grado di soddisfare le esigenze più complesse nei settori dell'automazione industriale, delle macchine mobili e dell'energia rinnovabile. Il Gruppo serve più applicazioni e settori di qualsiasi altro produttore di azionamenti ed è leader di mercato in numerosi settori. Fondata nel 1956, Bonfiglioli è presente in tutto il mondo con 21 filiali commerciali, 14 impianti produttivi, 500 partner nella distribuzione e conta circa 3.700 dipendenti.</w:t>
      </w:r>
    </w:p>
    <w:p w:rsidR="008F7906" w:rsidRPr="008F7906" w:rsidRDefault="008F7906" w:rsidP="006E01E5">
      <w:pPr>
        <w:jc w:val="both"/>
        <w:rPr>
          <w:rStyle w:val="menu2"/>
          <w:rFonts w:ascii="Tahoma" w:hAnsi="Tahoma" w:cs="Tahoma"/>
          <w:sz w:val="22"/>
          <w:szCs w:val="22"/>
        </w:rPr>
      </w:pPr>
      <w:r w:rsidRPr="008F7906">
        <w:rPr>
          <w:rStyle w:val="menu2"/>
          <w:rFonts w:ascii="Tahoma" w:hAnsi="Tahoma" w:cs="Tahoma"/>
          <w:sz w:val="22"/>
          <w:szCs w:val="22"/>
        </w:rPr>
        <w:t>Eccellenza, innovazione e sostenibilità sono i driver che guidano la nostra crescita come azienda e come team, e rappresentano la garanzia della qualità dei prodotti e dei servizi che offriamo ai nostri clienti.</w:t>
      </w:r>
    </w:p>
    <w:p w:rsidR="008F7906" w:rsidRPr="008F7906" w:rsidRDefault="008F7906" w:rsidP="006E01E5">
      <w:pPr>
        <w:jc w:val="both"/>
        <w:rPr>
          <w:rStyle w:val="menu2"/>
          <w:rFonts w:ascii="Tahoma" w:hAnsi="Tahoma" w:cs="Tahoma"/>
          <w:sz w:val="22"/>
          <w:szCs w:val="22"/>
        </w:rPr>
      </w:pPr>
      <w:r w:rsidRPr="008F7906">
        <w:rPr>
          <w:rStyle w:val="menu2"/>
          <w:rFonts w:ascii="Tahoma" w:hAnsi="Tahoma" w:cs="Tahoma"/>
          <w:sz w:val="22"/>
          <w:szCs w:val="22"/>
        </w:rPr>
        <w:t xml:space="preserve">Ulteriori informazioni sono disponibili al sito web </w:t>
      </w:r>
      <w:hyperlink r:id="rId6" w:history="1">
        <w:r w:rsidRPr="008F7906">
          <w:rPr>
            <w:rStyle w:val="Hyperlink"/>
            <w:rFonts w:ascii="Tahoma" w:hAnsi="Tahoma" w:cs="Tahoma"/>
            <w:sz w:val="22"/>
            <w:szCs w:val="22"/>
          </w:rPr>
          <w:t>www.bonfiglioli.com</w:t>
        </w:r>
      </w:hyperlink>
      <w:r w:rsidRPr="008F7906">
        <w:rPr>
          <w:rStyle w:val="menu2"/>
          <w:rFonts w:ascii="Tahoma" w:hAnsi="Tahoma" w:cs="Tahoma"/>
          <w:sz w:val="22"/>
          <w:szCs w:val="22"/>
        </w:rPr>
        <w:t>.</w:t>
      </w:r>
    </w:p>
    <w:p w:rsidR="004A73F3" w:rsidRDefault="004A73F3"/>
    <w:p w:rsidR="006E01E5" w:rsidRPr="008775E9" w:rsidRDefault="006E01E5" w:rsidP="006E01E5">
      <w:pPr>
        <w:pStyle w:val="BodyText2"/>
        <w:spacing w:after="0" w:line="240" w:lineRule="auto"/>
        <w:rPr>
          <w:rFonts w:ascii="Tahoma" w:hAnsi="Tahoma"/>
          <w:sz w:val="22"/>
          <w:szCs w:val="22"/>
        </w:rPr>
      </w:pPr>
      <w:r w:rsidRPr="008775E9">
        <w:rPr>
          <w:rFonts w:ascii="Tahoma" w:hAnsi="Tahoma"/>
          <w:sz w:val="22"/>
          <w:szCs w:val="22"/>
        </w:rPr>
        <w:t>Copyright delle immagini di Bonfiglioli:</w:t>
      </w:r>
    </w:p>
    <w:p w:rsidR="006E01E5" w:rsidRPr="008775E9" w:rsidRDefault="006E01E5" w:rsidP="006E01E5">
      <w:pPr>
        <w:pStyle w:val="BodyText2"/>
        <w:spacing w:after="0" w:line="240" w:lineRule="auto"/>
        <w:rPr>
          <w:rFonts w:ascii="Tahoma" w:hAnsi="Tahoma"/>
          <w:sz w:val="22"/>
          <w:szCs w:val="22"/>
        </w:rPr>
      </w:pPr>
    </w:p>
    <w:p w:rsidR="006E01E5" w:rsidRPr="008775E9" w:rsidRDefault="006E01E5" w:rsidP="006E01E5">
      <w:pPr>
        <w:pStyle w:val="Header"/>
        <w:rPr>
          <w:rFonts w:ascii="Arial" w:hAnsi="Arial"/>
          <w:bCs/>
          <w:sz w:val="22"/>
          <w:szCs w:val="22"/>
        </w:rPr>
      </w:pPr>
      <w:r w:rsidRPr="008775E9">
        <w:rPr>
          <w:rFonts w:ascii="Arial" w:hAnsi="Arial"/>
          <w:sz w:val="22"/>
          <w:szCs w:val="22"/>
        </w:rPr>
        <w:t>Bonfiglioli-ECGenius.jpg</w:t>
      </w:r>
    </w:p>
    <w:p w:rsidR="006E01E5" w:rsidRPr="008775E9" w:rsidRDefault="006E01E5" w:rsidP="006E01E5">
      <w:pPr>
        <w:pStyle w:val="s5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8775E9">
        <w:rPr>
          <w:rFonts w:ascii="Arial" w:hAnsi="Arial"/>
          <w:noProof/>
          <w:sz w:val="22"/>
          <w:szCs w:val="22"/>
          <w:lang w:val="en-US" w:eastAsia="en-US"/>
        </w:rPr>
        <w:drawing>
          <wp:inline distT="0" distB="0" distL="0" distR="0" wp14:anchorId="63A5E7CE" wp14:editId="6EBABF05">
            <wp:extent cx="1876425" cy="1876425"/>
            <wp:effectExtent l="0" t="0" r="9525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onfiglioli-ECGenius-k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76505" cy="1876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01E5" w:rsidRPr="008775E9" w:rsidRDefault="006E01E5" w:rsidP="006E01E5">
      <w:pPr>
        <w:pStyle w:val="s5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8775E9">
        <w:rPr>
          <w:rFonts w:ascii="Tahoma" w:hAnsi="Tahoma"/>
          <w:sz w:val="22"/>
        </w:rPr>
        <w:t>Il formato compatto di ECGenius150 è perfetto per lo spazio ridotto disponibile nella macchina.</w:t>
      </w:r>
    </w:p>
    <w:p w:rsidR="006E01E5" w:rsidRPr="008775E9" w:rsidRDefault="006E01E5" w:rsidP="006E01E5">
      <w:pPr>
        <w:pStyle w:val="BodyText2"/>
        <w:spacing w:after="0" w:line="240" w:lineRule="auto"/>
        <w:rPr>
          <w:rFonts w:ascii="Tahoma" w:hAnsi="Tahoma"/>
          <w:sz w:val="22"/>
          <w:szCs w:val="22"/>
        </w:rPr>
      </w:pPr>
    </w:p>
    <w:p w:rsidR="006E01E5" w:rsidRPr="008775E9" w:rsidRDefault="006E01E5" w:rsidP="006E01E5">
      <w:pPr>
        <w:pStyle w:val="Header"/>
        <w:rPr>
          <w:rFonts w:ascii="Arial" w:hAnsi="Arial"/>
          <w:bCs/>
          <w:sz w:val="22"/>
          <w:szCs w:val="22"/>
        </w:rPr>
      </w:pPr>
      <w:r w:rsidRPr="008775E9">
        <w:rPr>
          <w:rFonts w:ascii="Arial" w:hAnsi="Arial"/>
          <w:sz w:val="22"/>
          <w:szCs w:val="22"/>
        </w:rPr>
        <w:t>Bonfiglioli-ECGenius-Special.jpg</w:t>
      </w:r>
    </w:p>
    <w:p w:rsidR="006E01E5" w:rsidRPr="008775E9" w:rsidRDefault="006E01E5" w:rsidP="006E01E5">
      <w:pPr>
        <w:pStyle w:val="s5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8775E9">
        <w:rPr>
          <w:rFonts w:ascii="Arial" w:hAnsi="Arial"/>
          <w:noProof/>
          <w:sz w:val="22"/>
          <w:szCs w:val="22"/>
          <w:lang w:val="en-US" w:eastAsia="en-US"/>
        </w:rPr>
        <w:drawing>
          <wp:inline distT="0" distB="0" distL="0" distR="0" wp14:anchorId="0D3F2652" wp14:editId="4AADC2DF">
            <wp:extent cx="1457325" cy="1587443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onfiglioli-ECGenius-k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69740" cy="1600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01E5" w:rsidRDefault="006E01E5" w:rsidP="006E01E5">
      <w:pPr>
        <w:pStyle w:val="s5"/>
        <w:spacing w:before="0" w:beforeAutospacing="0" w:after="0" w:afterAutospacing="0"/>
        <w:rPr>
          <w:rFonts w:ascii="Tahoma" w:hAnsi="Tahoma"/>
          <w:sz w:val="22"/>
        </w:rPr>
      </w:pPr>
      <w:r w:rsidRPr="008775E9">
        <w:rPr>
          <w:rFonts w:ascii="Tahoma" w:hAnsi="Tahoma"/>
          <w:sz w:val="22"/>
        </w:rPr>
        <w:t>La caratteristica principale di ECGenius150 è la struttura dell'unità di regolazione meccanica, che varia la velocità in modo impercettibile e senza soluzione di continuità.</w:t>
      </w:r>
    </w:p>
    <w:p w:rsidR="006E01E5" w:rsidRDefault="006E01E5" w:rsidP="006E01E5">
      <w:pPr>
        <w:pStyle w:val="s5"/>
        <w:spacing w:before="0" w:beforeAutospacing="0" w:after="0" w:afterAutospacing="0"/>
        <w:rPr>
          <w:rFonts w:ascii="Tahoma" w:hAnsi="Tahoma"/>
          <w:sz w:val="22"/>
        </w:rPr>
      </w:pPr>
    </w:p>
    <w:p w:rsidR="006E01E5" w:rsidRDefault="006E01E5" w:rsidP="006E01E5">
      <w:pPr>
        <w:pStyle w:val="s5"/>
        <w:spacing w:before="0" w:beforeAutospacing="0" w:after="0" w:afterAutospacing="0"/>
        <w:rPr>
          <w:rFonts w:ascii="Tahoma" w:hAnsi="Tahoma"/>
          <w:sz w:val="22"/>
        </w:rPr>
      </w:pPr>
    </w:p>
    <w:p w:rsidR="006E01E5" w:rsidRDefault="006E01E5" w:rsidP="006E01E5">
      <w:pPr>
        <w:pStyle w:val="s5"/>
        <w:spacing w:before="0" w:beforeAutospacing="0" w:after="0" w:afterAutospacing="0"/>
        <w:rPr>
          <w:rFonts w:ascii="Tahoma" w:hAnsi="Tahoma"/>
          <w:sz w:val="22"/>
        </w:rPr>
      </w:pPr>
    </w:p>
    <w:p w:rsidR="006E01E5" w:rsidRPr="008775E9" w:rsidRDefault="006E01E5" w:rsidP="006E01E5">
      <w:pPr>
        <w:pStyle w:val="s5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6E01E5" w:rsidRPr="008775E9" w:rsidRDefault="006E01E5" w:rsidP="006E01E5">
      <w:pPr>
        <w:jc w:val="both"/>
        <w:rPr>
          <w:rFonts w:ascii="Tahoma" w:hAnsi="Tahoma" w:cs="Tahoma"/>
          <w:sz w:val="22"/>
          <w:szCs w:val="22"/>
        </w:rPr>
      </w:pPr>
    </w:p>
    <w:p w:rsidR="006E01E5" w:rsidRPr="008775E9" w:rsidRDefault="006E01E5" w:rsidP="006E01E5">
      <w:pPr>
        <w:pStyle w:val="StileInterlineaesatta12pt"/>
        <w:rPr>
          <w:rFonts w:cs="Tahoma"/>
          <w:b/>
          <w:sz w:val="22"/>
          <w:szCs w:val="22"/>
        </w:rPr>
      </w:pPr>
      <w:r w:rsidRPr="008775E9">
        <w:rPr>
          <w:b/>
          <w:sz w:val="22"/>
          <w:szCs w:val="22"/>
        </w:rPr>
        <w:t xml:space="preserve">Dati di contatto per ulteriori informazioni: </w:t>
      </w:r>
    </w:p>
    <w:p w:rsidR="006E01E5" w:rsidRPr="008775E9" w:rsidRDefault="006E01E5" w:rsidP="006E01E5">
      <w:pPr>
        <w:suppressAutoHyphens/>
        <w:jc w:val="both"/>
        <w:rPr>
          <w:rFonts w:ascii="Tahoma" w:hAnsi="Tahoma" w:cs="Tahoma"/>
          <w:sz w:val="22"/>
          <w:szCs w:val="22"/>
        </w:rPr>
      </w:pPr>
      <w:r w:rsidRPr="008775E9">
        <w:rPr>
          <w:rFonts w:ascii="Tahoma" w:hAnsi="Tahoma"/>
          <w:noProof/>
          <w:sz w:val="22"/>
          <w:szCs w:val="22"/>
          <w:lang w:val="en-US" w:eastAsia="en-US"/>
        </w:rPr>
        <w:drawing>
          <wp:inline distT="0" distB="0" distL="0" distR="0" wp14:anchorId="0719CFDD" wp14:editId="04480584">
            <wp:extent cx="270000" cy="270000"/>
            <wp:effectExtent l="0" t="0" r="0" b="0"/>
            <wp:docPr id="6" name="Picture 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10"/>
                    </pic:cNvPr>
                    <pic:cNvPicPr/>
                  </pic:nvPicPr>
                  <pic:blipFill>
                    <a:blip r:embed="rId11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000" cy="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75E9">
        <w:rPr>
          <w:rFonts w:ascii="Tahoma" w:hAnsi="Tahoma"/>
          <w:sz w:val="22"/>
          <w:szCs w:val="22"/>
        </w:rPr>
        <w:t xml:space="preserve">  </w:t>
      </w:r>
      <w:r w:rsidRPr="008775E9">
        <w:rPr>
          <w:noProof/>
          <w:lang w:val="en-US" w:eastAsia="en-US"/>
        </w:rPr>
        <w:drawing>
          <wp:inline distT="0" distB="0" distL="0" distR="0" wp14:anchorId="5A083D38" wp14:editId="092163E4">
            <wp:extent cx="270000" cy="270000"/>
            <wp:effectExtent l="0" t="0" r="0" b="0"/>
            <wp:docPr id="8" name="Picture 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>
                      <a:hlinkClick r:id="rId13"/>
                    </pic:cNvPr>
                    <pic:cNvPicPr/>
                  </pic:nvPicPr>
                  <pic:blipFill>
                    <a:blip r:embed="rId14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000" cy="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75E9">
        <w:rPr>
          <w:rFonts w:ascii="Tahoma" w:hAnsi="Tahoma"/>
          <w:sz w:val="22"/>
          <w:szCs w:val="22"/>
        </w:rPr>
        <w:t xml:space="preserve"> </w:t>
      </w:r>
      <w:r w:rsidRPr="008775E9">
        <w:rPr>
          <w:noProof/>
          <w:lang w:val="en-US" w:eastAsia="en-US"/>
        </w:rPr>
        <w:drawing>
          <wp:inline distT="0" distB="0" distL="0" distR="0" wp14:anchorId="6101CD6F" wp14:editId="1D331097">
            <wp:extent cx="270000" cy="270000"/>
            <wp:effectExtent l="0" t="0" r="0" b="0"/>
            <wp:docPr id="9" name="Picture 9" descr="Z:\Marketing\DROPBOX MARKETING\Pictures, Logos and Videos\Logos\Réseaux Sociaux\CVTCORP Social Network\Twitter\Twitter_RGB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Z:\Marketing\DROPBOX MARKETING\Pictures, Logos and Videos\Logos\Réseaux Sociaux\CVTCORP Social Network\Twitter\Twitter_RGB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0" cy="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1E5" w:rsidRPr="008775E9" w:rsidRDefault="006E01E5" w:rsidP="006E01E5">
      <w:pPr>
        <w:suppressAutoHyphens/>
        <w:outlineLvl w:val="0"/>
        <w:rPr>
          <w:rFonts w:ascii="Tahoma" w:hAnsi="Tahoma" w:cs="Tahoma"/>
          <w:sz w:val="22"/>
          <w:szCs w:val="22"/>
        </w:rPr>
      </w:pPr>
      <w:r w:rsidRPr="008775E9">
        <w:rPr>
          <w:rFonts w:ascii="Tahoma" w:hAnsi="Tahoma"/>
          <w:sz w:val="22"/>
          <w:szCs w:val="22"/>
        </w:rPr>
        <w:t>Camille Distain</w:t>
      </w:r>
    </w:p>
    <w:p w:rsidR="006E01E5" w:rsidRPr="008775E9" w:rsidRDefault="006E01E5" w:rsidP="006E01E5">
      <w:pPr>
        <w:suppressAutoHyphens/>
        <w:outlineLvl w:val="0"/>
        <w:rPr>
          <w:rFonts w:ascii="Tahoma" w:hAnsi="Tahoma" w:cs="Tahoma"/>
          <w:sz w:val="22"/>
          <w:szCs w:val="22"/>
        </w:rPr>
      </w:pPr>
      <w:r w:rsidRPr="008775E9">
        <w:rPr>
          <w:rFonts w:ascii="Tahoma" w:hAnsi="Tahoma"/>
          <w:sz w:val="22"/>
          <w:szCs w:val="22"/>
        </w:rPr>
        <w:t>Responsabile comunicazioni esterne, Bonfiglioli</w:t>
      </w:r>
    </w:p>
    <w:p w:rsidR="006E01E5" w:rsidRPr="008775E9" w:rsidRDefault="001E078C" w:rsidP="006E01E5">
      <w:pPr>
        <w:jc w:val="both"/>
        <w:rPr>
          <w:rStyle w:val="Hyperlink"/>
          <w:rFonts w:ascii="Tahoma" w:hAnsi="Tahoma"/>
          <w:sz w:val="22"/>
          <w:szCs w:val="22"/>
        </w:rPr>
      </w:pPr>
      <w:hyperlink r:id="rId18" w:history="1">
        <w:r w:rsidR="006E01E5" w:rsidRPr="008775E9">
          <w:rPr>
            <w:rStyle w:val="Hyperlink"/>
            <w:rFonts w:ascii="Tahoma" w:hAnsi="Tahoma"/>
            <w:sz w:val="22"/>
            <w:szCs w:val="22"/>
          </w:rPr>
          <w:t>camille.distain@bonfiglioli.com</w:t>
        </w:r>
      </w:hyperlink>
      <w:r w:rsidR="006E01E5" w:rsidRPr="008775E9">
        <w:rPr>
          <w:rStyle w:val="Hyperlink"/>
          <w:rFonts w:ascii="Tahoma" w:hAnsi="Tahoma"/>
          <w:sz w:val="22"/>
          <w:szCs w:val="22"/>
        </w:rPr>
        <w:t xml:space="preserve"> </w:t>
      </w:r>
    </w:p>
    <w:p w:rsidR="006E01E5" w:rsidRPr="008775E9" w:rsidRDefault="006E01E5" w:rsidP="006E01E5">
      <w:pPr>
        <w:jc w:val="both"/>
        <w:rPr>
          <w:rStyle w:val="Hyperlink"/>
          <w:rFonts w:ascii="Tahoma" w:hAnsi="Tahoma"/>
          <w:sz w:val="22"/>
          <w:szCs w:val="22"/>
        </w:rPr>
      </w:pPr>
    </w:p>
    <w:p w:rsidR="006E01E5" w:rsidRPr="008775E9" w:rsidRDefault="006E01E5" w:rsidP="006E01E5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2"/>
          <w:szCs w:val="22"/>
        </w:rPr>
      </w:pPr>
      <w:r w:rsidRPr="008775E9">
        <w:rPr>
          <w:rFonts w:ascii="Tahoma" w:hAnsi="Tahoma"/>
          <w:b/>
          <w:bCs/>
          <w:sz w:val="22"/>
          <w:szCs w:val="22"/>
        </w:rPr>
        <w:t>PR/Feedback/Informazioni</w:t>
      </w:r>
      <w:r w:rsidRPr="008775E9">
        <w:rPr>
          <w:rFonts w:ascii="Tahoma" w:hAnsi="Tahoma"/>
          <w:sz w:val="22"/>
          <w:szCs w:val="22"/>
        </w:rPr>
        <w:t xml:space="preserve"> </w:t>
      </w:r>
      <w:r w:rsidRPr="008775E9">
        <w:rPr>
          <w:rFonts w:ascii="Tahoma" w:hAnsi="Tahoma"/>
          <w:b/>
          <w:bCs/>
          <w:sz w:val="22"/>
          <w:szCs w:val="22"/>
        </w:rPr>
        <w:t>(per Regno Unito e Scandinavia)</w:t>
      </w:r>
    </w:p>
    <w:p w:rsidR="006E01E5" w:rsidRPr="008775E9" w:rsidRDefault="006E01E5" w:rsidP="006E01E5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  <w:lang w:val="en-GB"/>
        </w:rPr>
      </w:pPr>
      <w:r w:rsidRPr="008775E9">
        <w:rPr>
          <w:rFonts w:ascii="Tahoma" w:hAnsi="Tahoma"/>
          <w:sz w:val="22"/>
          <w:szCs w:val="22"/>
          <w:lang w:val="en-GB"/>
        </w:rPr>
        <w:t>Thomas Herold</w:t>
      </w:r>
    </w:p>
    <w:p w:rsidR="006E01E5" w:rsidRPr="008775E9" w:rsidRDefault="006E01E5" w:rsidP="006E01E5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  <w:lang w:val="en-GB"/>
        </w:rPr>
      </w:pPr>
      <w:r w:rsidRPr="008775E9">
        <w:rPr>
          <w:rFonts w:ascii="Tahoma" w:hAnsi="Tahoma"/>
          <w:sz w:val="22"/>
          <w:szCs w:val="22"/>
          <w:lang w:val="en-GB"/>
        </w:rPr>
        <w:t>Chief Operating Officer, WERBEKOCH GmbH</w:t>
      </w:r>
    </w:p>
    <w:p w:rsidR="006E01E5" w:rsidRPr="008775E9" w:rsidRDefault="001E078C" w:rsidP="006E01E5">
      <w:pPr>
        <w:rPr>
          <w:rStyle w:val="Hyperlink"/>
          <w:rFonts w:ascii="Tahoma" w:hAnsi="Tahoma" w:cs="Tahoma"/>
          <w:sz w:val="22"/>
          <w:szCs w:val="22"/>
        </w:rPr>
      </w:pPr>
      <w:hyperlink r:id="rId19" w:history="1">
        <w:r w:rsidR="006E01E5" w:rsidRPr="008775E9">
          <w:rPr>
            <w:rStyle w:val="Hyperlink"/>
            <w:rFonts w:ascii="Tahoma" w:hAnsi="Tahoma"/>
            <w:sz w:val="22"/>
            <w:szCs w:val="22"/>
          </w:rPr>
          <w:t>th@werbekoch.de</w:t>
        </w:r>
      </w:hyperlink>
    </w:p>
    <w:p w:rsidR="006E01E5" w:rsidRDefault="006E01E5" w:rsidP="006E01E5">
      <w:pPr>
        <w:jc w:val="both"/>
        <w:rPr>
          <w:rStyle w:val="Hyperlink"/>
          <w:rFonts w:ascii="Tahoma" w:hAnsi="Tahoma"/>
          <w:sz w:val="22"/>
          <w:szCs w:val="22"/>
        </w:rPr>
      </w:pPr>
    </w:p>
    <w:p w:rsidR="006E01E5" w:rsidRDefault="006E01E5"/>
    <w:sectPr w:rsidR="006E01E5" w:rsidSect="001E01C4">
      <w:headerReference w:type="default" r:id="rId20"/>
      <w:pgSz w:w="11906" w:h="16838"/>
      <w:pgMar w:top="2835" w:right="851" w:bottom="1701" w:left="851" w:header="2835" w:footer="851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78C" w:rsidRDefault="001E078C" w:rsidP="001E01C4">
      <w:r>
        <w:separator/>
      </w:r>
    </w:p>
  </w:endnote>
  <w:endnote w:type="continuationSeparator" w:id="0">
    <w:p w:rsidR="001E078C" w:rsidRDefault="001E078C" w:rsidP="001E0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78C" w:rsidRDefault="001E078C" w:rsidP="001E01C4">
      <w:r>
        <w:separator/>
      </w:r>
    </w:p>
  </w:footnote>
  <w:footnote w:type="continuationSeparator" w:id="0">
    <w:p w:rsidR="001E078C" w:rsidRDefault="001E078C" w:rsidP="001E0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1C4" w:rsidRPr="001E01C4" w:rsidRDefault="00B413BD" w:rsidP="001E01C4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-1797685</wp:posOffset>
          </wp:positionV>
          <wp:extent cx="7564881" cy="10692000"/>
          <wp:effectExtent l="0" t="0" r="4445" b="1905"/>
          <wp:wrapNone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ngue Press Release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881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proofState w:spelling="clean" w:grammar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1C4"/>
    <w:rsid w:val="000F1276"/>
    <w:rsid w:val="001E01C4"/>
    <w:rsid w:val="001E078C"/>
    <w:rsid w:val="00283210"/>
    <w:rsid w:val="002D6628"/>
    <w:rsid w:val="002E3749"/>
    <w:rsid w:val="00435FC2"/>
    <w:rsid w:val="004A73F3"/>
    <w:rsid w:val="004C07FA"/>
    <w:rsid w:val="004E4638"/>
    <w:rsid w:val="004F3C3D"/>
    <w:rsid w:val="0055454A"/>
    <w:rsid w:val="006514CB"/>
    <w:rsid w:val="006E01E5"/>
    <w:rsid w:val="0075102F"/>
    <w:rsid w:val="007F2357"/>
    <w:rsid w:val="007F58B9"/>
    <w:rsid w:val="00863EB1"/>
    <w:rsid w:val="008923F6"/>
    <w:rsid w:val="008F7906"/>
    <w:rsid w:val="009A3C92"/>
    <w:rsid w:val="00B413BD"/>
    <w:rsid w:val="00C1058D"/>
    <w:rsid w:val="00D04845"/>
    <w:rsid w:val="00DF00DE"/>
    <w:rsid w:val="00E1538A"/>
    <w:rsid w:val="00EB189E"/>
    <w:rsid w:val="00EC3E4E"/>
    <w:rsid w:val="00F43D77"/>
    <w:rsid w:val="00FA0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CDA5C7E"/>
  <w14:defaultImageDpi w14:val="300"/>
  <w15:docId w15:val="{B65FDD7F-9D42-4442-B6DA-9069CC5D6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1C4"/>
    <w:rPr>
      <w:sz w:val="24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01C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01C4"/>
    <w:rPr>
      <w:sz w:val="24"/>
      <w:lang w:eastAsia="it-IT"/>
    </w:rPr>
  </w:style>
  <w:style w:type="paragraph" w:styleId="Footer">
    <w:name w:val="footer"/>
    <w:basedOn w:val="Normal"/>
    <w:link w:val="FooterChar"/>
    <w:uiPriority w:val="99"/>
    <w:unhideWhenUsed/>
    <w:rsid w:val="001E01C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01C4"/>
    <w:rPr>
      <w:sz w:val="24"/>
      <w:lang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01C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1C4"/>
    <w:rPr>
      <w:rFonts w:ascii="Lucida Grande" w:hAnsi="Lucida Grande" w:cs="Lucida Grande"/>
      <w:sz w:val="18"/>
      <w:szCs w:val="18"/>
      <w:lang w:eastAsia="it-IT"/>
    </w:rPr>
  </w:style>
  <w:style w:type="character" w:styleId="Hyperlink">
    <w:name w:val="Hyperlink"/>
    <w:basedOn w:val="DefaultParagraphFont"/>
    <w:uiPriority w:val="99"/>
    <w:semiHidden/>
    <w:unhideWhenUsed/>
    <w:rsid w:val="008F7906"/>
    <w:rPr>
      <w:color w:val="0563C1"/>
      <w:u w:val="single"/>
    </w:rPr>
  </w:style>
  <w:style w:type="character" w:customStyle="1" w:styleId="menu2">
    <w:name w:val="menu2"/>
    <w:basedOn w:val="DefaultParagraphFont"/>
    <w:rsid w:val="008F7906"/>
  </w:style>
  <w:style w:type="paragraph" w:customStyle="1" w:styleId="StileInterlineaesatta12pt">
    <w:name w:val="Stile Interlinea esatta 12 pt"/>
    <w:basedOn w:val="Normal"/>
    <w:uiPriority w:val="99"/>
    <w:rsid w:val="006E01E5"/>
    <w:pPr>
      <w:spacing w:line="240" w:lineRule="atLeast"/>
    </w:pPr>
    <w:rPr>
      <w:rFonts w:ascii="Tahoma" w:eastAsia="Times New Roman" w:hAnsi="Tahoma"/>
      <w:sz w:val="20"/>
      <w:u w:color="00000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E01E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E01E5"/>
    <w:rPr>
      <w:sz w:val="24"/>
      <w:lang w:eastAsia="it-IT"/>
    </w:rPr>
  </w:style>
  <w:style w:type="paragraph" w:customStyle="1" w:styleId="s5">
    <w:name w:val="s5"/>
    <w:basedOn w:val="Normal"/>
    <w:rsid w:val="006E01E5"/>
    <w:pPr>
      <w:spacing w:before="100" w:beforeAutospacing="1" w:after="100" w:afterAutospacing="1"/>
    </w:pPr>
    <w:rPr>
      <w:rFonts w:eastAsia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47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yperlink" Target="https://www.youtube.com/channel/UCBp_UO4a0rAo5xd9Kj1EYhA/videos" TargetMode="External"/><Relationship Id="rId18" Type="http://schemas.openxmlformats.org/officeDocument/2006/relationships/hyperlink" Target="mailto:camille.distain@bonfiglioli.com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channel/UC8xvq7lt0om0vzFrDl0bRBw" TargetMode="External"/><Relationship Id="rId17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hyperlink" Target="https://twitter.com/CVT_CORP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www.bonfiglioli.com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hyperlink" Target="https://twitter.com/Bonfiglioli_?lang=fr" TargetMode="External"/><Relationship Id="rId10" Type="http://schemas.openxmlformats.org/officeDocument/2006/relationships/hyperlink" Target="https://www.linkedin.com/company/cvt-corp/" TargetMode="External"/><Relationship Id="rId19" Type="http://schemas.openxmlformats.org/officeDocument/2006/relationships/hyperlink" Target="mailto:th@werbekoch.d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linkedin.com/company/bonfiglioli-riduttori-spa/" TargetMode="External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736</Words>
  <Characters>4200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Caterina Leonelli</dc:creator>
  <cp:keywords/>
  <dc:description/>
  <cp:lastModifiedBy>Camille Distain</cp:lastModifiedBy>
  <cp:revision>2</cp:revision>
  <dcterms:created xsi:type="dcterms:W3CDTF">2019-03-07T12:58:00Z</dcterms:created>
  <dcterms:modified xsi:type="dcterms:W3CDTF">2019-03-07T12:58:00Z</dcterms:modified>
</cp:coreProperties>
</file>